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Nota de Inversión</w:t>
      </w:r>
    </w:p>
    <w:p>
      <w:pPr>
        <w:pStyle w:val="Subtitle"/>
      </w:pPr>
      <w:r>
        <w:t xml:space="preserve">Entregable final · máximo 4 páginas · miércoles 16 de septiembre</w:t>
      </w:r>
    </w:p>
    <w:tbl>
      <w:tblPr>
        <w:tblStyle w:val="Table"/>
        <w:tblLook w:firstRow="0" w:lastRow="0" w:firstColumn="0" w:lastColumn="0" w:noHBand="0" w:noVBand="0" w:val="0000"/>
        <w:tblBorders>
          <w:left w:val="single" w:sz="24" w:space="0" w:color="00A047"/>
        </w:tblBorders>
        <w:tblCellMar>
          <w:left w:w="0" w:type="dxa"/>
          <w:right w:w="0" w:type="dxa"/>
        </w:tblCellMar>
        <w:tblInd w:w="164" w:type="dxa"/>
      </w:tblPr>
      <w:tr>
        <w:trPr>
          <w:cantSplit/>
        </w:trPr>
        <w:tc>
          <w:tcPr>
            <w:tcMar>
              <w:left w:w="144" w:type="dxa"/>
              <w:right w:w="144" w:type="dxa"/>
            </w:tcMar>
          </w:tcPr>
          <w:p>
            <w:pPr>
              <w:pStyle w:val="FirstParagraph"/>
            </w:pPr>
            <w:pPr>
              <w:spacing w:before="0" w:after="8"/>
              <w:jc w:val="center"/>
            </w:pPr>
            <w:r>
              <w:drawing>
                <wp:inline>
                  <wp:extent cx="152400" cy="152400"/>
                  <wp:effectExtent b="0" l="0" r="0" t="0"/>
                  <wp:docPr descr="" title="" id="2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2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pStyle w:val="BodyText"/>
            </w:pPr>
            <w:pPr>
              <w:spacing w:before="16" w:after="64"/>
            </w:pPr>
          </w:p>
          <w:p>
            <w:pPr>
              <w:pStyle w:val="BodyText"/>
            </w:pPr>
            <w:pPr>
              <w:spacing w:before="16" w:after="16"/>
            </w:pPr>
            <w:r>
              <w:t xml:space="preserve">📄</w:t>
            </w:r>
            <w:r>
              <w:t xml:space="preserve"> </w:t>
            </w:r>
            <w:hyperlink r:id="rId23">
              <w:r>
                <w:rPr>
                  <w:rStyle w:val="Hyperlink"/>
                  <w:b/>
                  <w:bCs/>
                </w:rPr>
                <w:t xml:space="preserve">Descargar en Word</w:t>
              </w:r>
            </w:hyperlink>
            <w:r>
              <w:t xml:space="preserve"> </w:t>
            </w:r>
            <w:r>
              <w:t xml:space="preserve">— para llenar y entregar.</w:t>
            </w:r>
          </w:p>
        </w:tc>
      </w:tr>
    </w:tbl>
    <w:p>
      <w:pPr>
        <w:pStyle w:val="BlockText"/>
      </w:pPr>
      <w:r>
        <w:t xml:space="preserve">Entregable final.</w:t>
      </w:r>
      <w:r>
        <w:t xml:space="preserve"> </w:t>
      </w:r>
      <w:r>
        <w:rPr>
          <w:b/>
          <w:bCs/>
        </w:rPr>
        <w:t xml:space="preserve">Máximo 4 páginas.</w:t>
      </w:r>
      <w:r>
        <w:t xml:space="preserve"> </w:t>
      </w:r>
      <w:r>
        <w:t xml:space="preserve">Formato de la industria, no de trabajo académico.</w:t>
      </w:r>
      <w:r>
        <w:t xml:space="preserve"> </w:t>
      </w:r>
      <w:r>
        <w:t xml:space="preserve">Se entrega el</w:t>
      </w:r>
      <w:r>
        <w:t xml:space="preserve"> </w:t>
      </w:r>
      <w:r>
        <w:rPr>
          <w:b/>
          <w:bCs/>
        </w:rPr>
        <w:t xml:space="preserve">miércoles 16 de septiembre</w:t>
      </w:r>
      <w:r>
        <w:t xml:space="preserve">, antes del Investor Day.</w:t>
      </w:r>
    </w:p>
    <w:p>
      <w:r>
        <w:pict>
          <v:rect style="width:0;height:1.5pt" o:hralign="center" o:hrstd="t" o:hr="t"/>
        </w:pict>
      </w:r>
    </w:p>
    <w:bookmarkStart w:id="24" w:name="Xa8de5e1f36994c7fd3eb1140f7abad495031211"/>
    <w:p>
      <w:pPr>
        <w:pStyle w:val="Heading2"/>
      </w:pPr>
      <w:r>
        <w:t xml:space="preserve">1 · Resumen de decisión</w:t>
      </w:r>
      <w:r>
        <w:t xml:space="preserve"> </w:t>
      </w:r>
      <w:r>
        <w:rPr>
          <w:i/>
          <w:iCs/>
        </w:rPr>
        <w:t xml:space="preserve">(media página — se escribe al final)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Solicitud</w:t>
            </w:r>
          </w:p>
        </w:tc>
        <w:tc>
          <w:tcPr/>
          <w:p>
            <w:pPr>
              <w:pStyle w:val="Compact"/>
            </w:pPr>
            <w:r>
              <w:t xml:space="preserve">USD</w:t>
            </w:r>
            <w:r>
              <w:t xml:space="preserve"> </w:t>
            </w:r>
            <w:r>
              <w:rPr>
                <w:rStyle w:val="VerbatimChar"/>
              </w:rPr>
              <w:t xml:space="preserve">___</w:t>
            </w:r>
            <w:r>
              <w:t xml:space="preserve"> </w:t>
            </w:r>
            <w:r>
              <w:t xml:space="preserve">en</w:t>
            </w:r>
            <w:r>
              <w:t xml:space="preserve"> </w:t>
            </w:r>
            <w:r>
              <w:rPr>
                <w:rStyle w:val="VerbatimChar"/>
              </w:rPr>
              <w:t xml:space="preserve">[instrumento]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rStyle w:val="VerbatimChar"/>
              </w:rPr>
              <w:t xml:space="preserve">[plazo]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Contraparte propuesta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[quién de la mesa]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VPN privado</w:t>
            </w:r>
          </w:p>
        </w:tc>
        <w:tc>
          <w:tcPr/>
          <w:p>
            <w:pPr>
              <w:pStyle w:val="Compact"/>
            </w:pPr>
            <w:r>
              <w:t xml:space="preserve">USD</w:t>
            </w:r>
            <w:r>
              <w:t xml:space="preserve"> </w:t>
            </w:r>
            <w:r>
              <w:rPr>
                <w:rStyle w:val="VerbatimChar"/>
              </w:rPr>
              <w:t xml:space="preserve">___</w:t>
            </w:r>
            <w:r>
              <w:t xml:space="preserve"> </w:t>
            </w:r>
            <w:r>
              <w:t xml:space="preserve">@ WACC</w:t>
            </w:r>
            <w:r>
              <w:t xml:space="preserve"> </w:t>
            </w:r>
            <w:r>
              <w:rPr>
                <w:rStyle w:val="VerbatimChar"/>
              </w:rPr>
              <w:t xml:space="preserve">___%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VPN social</w:t>
            </w:r>
          </w:p>
        </w:tc>
        <w:tc>
          <w:tcPr/>
          <w:p>
            <w:pPr>
              <w:pStyle w:val="Compact"/>
            </w:pPr>
            <w:r>
              <w:t xml:space="preserve">USD</w:t>
            </w:r>
            <w:r>
              <w:t xml:space="preserve"> </w:t>
            </w:r>
            <w:r>
              <w:rPr>
                <w:rStyle w:val="VerbatimChar"/>
              </w:rPr>
              <w:t xml:space="preserve">___</w:t>
            </w:r>
            <w:r>
              <w:t xml:space="preserve"> </w:t>
            </w:r>
            <w:r>
              <w:t xml:space="preserve">@ TSD</w:t>
            </w:r>
            <w:r>
              <w:t xml:space="preserve"> </w:t>
            </w:r>
            <w:r>
              <w:rPr>
                <w:rStyle w:val="VerbatimChar"/>
              </w:rPr>
              <w:t xml:space="preserve">___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Switching value de carbono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USD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___</w:t>
            </w:r>
            <w:r>
              <w:rPr>
                <w:b/>
                <w:bCs/>
              </w:rPr>
              <w:t xml:space="preserve">/tCO₂e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Recomendación</w:t>
            </w:r>
          </w:p>
        </w:tc>
        <w:tc>
          <w:tcPr/>
          <w:p>
            <w:pPr>
              <w:pStyle w:val="Compact"/>
            </w:pPr>
            <w:r>
              <w:t xml:space="preserve">Financiar / financiar condicionado a</w:t>
            </w:r>
            <w:r>
              <w:t xml:space="preserve"> </w:t>
            </w:r>
            <w:r>
              <w:rPr>
                <w:rStyle w:val="VerbatimChar"/>
              </w:rPr>
              <w:t xml:space="preserve">___</w:t>
            </w:r>
            <w:r>
              <w:t xml:space="preserve"> </w:t>
            </w:r>
            <w:r>
              <w:t xml:space="preserve">/ no financiar</w:t>
            </w:r>
          </w:p>
        </w:tc>
      </w:tr>
    </w:tbl>
    <w:p>
      <w:pPr>
        <w:pStyle w:val="BlockText"/>
      </w:pPr>
      <w:r>
        <w:rPr>
          <w:b/>
          <w:bCs/>
        </w:rPr>
        <w:t xml:space="preserve">La frase:</w:t>
      </w:r>
      <w:r>
        <w:t xml:space="preserve"> </w:t>
      </w:r>
      <w:r>
        <w:t xml:space="preserve">“Este proyecto se justifica socialmente si el precio del carbono supera USD</w:t>
      </w:r>
      <w:r>
        <w:t xml:space="preserve"> </w:t>
      </w:r>
      <w:r>
        <w:rPr>
          <w:rStyle w:val="VerbatimChar"/>
        </w:rPr>
        <w:t xml:space="preserve">___</w:t>
      </w:r>
      <w:r>
        <w:t xml:space="preserve">/tCO₂e, valor que está</w:t>
      </w:r>
      <w:r>
        <w:t xml:space="preserve"> </w:t>
      </w:r>
      <w:r>
        <w:rPr>
          <w:rStyle w:val="VerbatimChar"/>
        </w:rPr>
        <w:t xml:space="preserve">[dentro / fuera]</w:t>
      </w:r>
      <w:r>
        <w:t xml:space="preserve"> </w:t>
      </w:r>
      <w:r>
        <w:t xml:space="preserve">del rango de USD 50–100 recomendado por el Banco Mundial para 2030.”</w:t>
      </w:r>
    </w:p>
    <w:p>
      <w:r>
        <w:pict>
          <v:rect style="width:0;height:1.5pt" o:hralign="center" o:hrstd="t" o:hr="t"/>
        </w:pict>
      </w:r>
    </w:p>
    <w:bookmarkEnd w:id="24"/>
    <w:bookmarkStart w:id="25" w:name="X431936c9e8a933550320ebb2bce36f4d8a94a65"/>
    <w:p>
      <w:pPr>
        <w:pStyle w:val="Heading2"/>
      </w:pPr>
      <w:r>
        <w:t xml:space="preserve">2 · El problema y la oportunidad</w:t>
      </w:r>
      <w:r>
        <w:t xml:space="preserve"> </w:t>
      </w:r>
      <w:r>
        <w:rPr>
          <w:i/>
          <w:iCs/>
        </w:rPr>
        <w:t xml:space="preserve">(media página)</w:t>
      </w:r>
    </w:p>
    <w:p>
      <w:pPr>
        <w:pStyle w:val="FirstParagraph"/>
      </w:pPr>
      <w:r>
        <w:t xml:space="preserve">Magnitud, territorio, por qué ahora. Sin adjetivos.</w:t>
      </w:r>
    </w:p>
    <w:p>
      <w:r>
        <w:pict>
          <v:rect style="width:0;height:1.5pt" o:hralign="center" o:hrstd="t" o:hr="t"/>
        </w:pict>
      </w:r>
    </w:p>
    <w:bookmarkEnd w:id="25"/>
    <w:bookmarkStart w:id="26" w:name="estructura-del-proyecto-media-página"/>
    <w:p>
      <w:pPr>
        <w:pStyle w:val="Heading2"/>
      </w:pPr>
      <w:r>
        <w:t xml:space="preserve">3 · Estructura del proyecto</w:t>
      </w:r>
      <w:r>
        <w:t xml:space="preserve"> </w:t>
      </w:r>
      <w:r>
        <w:rPr>
          <w:i/>
          <w:iCs/>
        </w:rPr>
        <w:t xml:space="preserve">(media página)</w:t>
      </w:r>
    </w:p>
    <w:p>
      <w:pPr>
        <w:pStyle w:val="FirstParagraph"/>
      </w:pPr>
      <w:r>
        <w:t xml:space="preserve">Propiedad, actores, fuentes de ingreso con año de inicio, cadena de resultados hasta la línea de control.</w:t>
      </w:r>
    </w:p>
    <w:p>
      <w:r>
        <w:pict>
          <v:rect style="width:0;height:1.5pt" o:hralign="center" o:hrstd="t" o:hr="t"/>
        </w:pict>
      </w:r>
    </w:p>
    <w:bookmarkEnd w:id="26"/>
    <w:bookmarkStart w:id="27" w:name="análisis-financiero-una-página"/>
    <w:p>
      <w:pPr>
        <w:pStyle w:val="Heading2"/>
      </w:pPr>
      <w:r>
        <w:t xml:space="preserve">4 · Análisis financiero</w:t>
      </w:r>
      <w:r>
        <w:t xml:space="preserve"> </w:t>
      </w:r>
      <w:r>
        <w:rPr>
          <w:i/>
          <w:iCs/>
        </w:rPr>
        <w:t xml:space="preserve">(una página)</w:t>
      </w:r>
    </w:p>
    <w:p>
      <w:pPr>
        <w:pStyle w:val="FirstParagraph"/>
      </w:pPr>
      <w:r>
        <w:rPr>
          <w:b/>
          <w:bCs/>
        </w:rPr>
        <w:t xml:space="preserve">4.1 Supuestos críticos</w:t>
      </w:r>
      <w:r>
        <w:t xml:space="preserve"> </w:t>
      </w:r>
      <w:r>
        <w:t xml:space="preserve">— los cinco que más mueven el resultado, con fuente.</w:t>
      </w:r>
    </w:p>
    <w:p>
      <w:pPr>
        <w:pStyle w:val="BodyText"/>
      </w:pPr>
      <w:r>
        <w:rPr>
          <w:b/>
          <w:bCs/>
        </w:rPr>
        <w:t xml:space="preserve">4.2 Escenarios de precio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Bajo</w:t>
            </w:r>
          </w:p>
        </w:tc>
        <w:tc>
          <w:tcPr/>
          <w:p>
            <w:pPr>
              <w:pStyle w:val="Compact"/>
            </w:pPr>
            <w:r>
              <w:t xml:space="preserve">Central</w:t>
            </w:r>
          </w:p>
        </w:tc>
        <w:tc>
          <w:tcPr/>
          <w:p>
            <w:pPr>
              <w:pStyle w:val="Compact"/>
            </w:pPr>
            <w:r>
              <w:t xml:space="preserve">Alto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Precio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Lógica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VPN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4.3 Costo de capital</w:t>
      </w:r>
      <w:r>
        <w:t xml:space="preserve"> </w:t>
      </w:r>
      <w:r>
        <w:t xml:space="preserve">— con</w:t>
      </w:r>
      <w:r>
        <w:t xml:space="preserve"> </w:t>
      </w:r>
      <w:r>
        <w:rPr>
          <w:b/>
          <w:bCs/>
        </w:rPr>
        <w:t xml:space="preserve">rango</w:t>
      </w:r>
      <w:r>
        <w:t xml:space="preserve">, no punto. Beta justificada.</w:t>
      </w:r>
    </w:p>
    <w:p>
      <w:pPr>
        <w:pStyle w:val="BodyText"/>
      </w:pPr>
      <w:r>
        <w:rPr>
          <w:b/>
          <w:bCs/>
        </w:rPr>
        <w:t xml:space="preserve">4.4 Criterios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VPN</w:t>
            </w:r>
          </w:p>
        </w:tc>
        <w:tc>
          <w:tcPr/>
          <w:p>
            <w:pPr>
              <w:pStyle w:val="Compact"/>
            </w:pPr>
            <w:r>
              <w:t xml:space="preserve">TIR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TIRM</w:t>
            </w:r>
          </w:p>
        </w:tc>
        <w:tc>
          <w:tcPr/>
          <w:p>
            <w:pPr>
              <w:pStyle w:val="Compact"/>
            </w:pPr>
            <w:r>
              <w:t xml:space="preserve">Payback desc.</w:t>
            </w:r>
          </w:p>
        </w:tc>
        <w:tc>
          <w:tcPr/>
          <w:p>
            <w:pPr>
              <w:pStyle w:val="Compact"/>
            </w:pPr>
            <w:r>
              <w:t xml:space="preserve">Precio de equilibrio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lockText"/>
      </w:pPr>
      <w:r>
        <w:t xml:space="preserve">Declarar el número de cambios de signo del flujo y si la TIR es confiable.</w:t>
      </w:r>
    </w:p>
    <w:p>
      <w:r>
        <w:pict>
          <v:rect style="width:0;height:1.5pt" o:hralign="center" o:hrstd="t" o:hr="t"/>
        </w:pict>
      </w:r>
    </w:p>
    <w:bookmarkEnd w:id="27"/>
    <w:bookmarkStart w:id="28" w:name="análisis-socioeconómico-media-página"/>
    <w:p>
      <w:pPr>
        <w:pStyle w:val="Heading2"/>
      </w:pPr>
      <w:r>
        <w:t xml:space="preserve">5 · Análisis socioeconómico</w:t>
      </w:r>
      <w:r>
        <w:t xml:space="preserve"> </w:t>
      </w:r>
      <w:r>
        <w:rPr>
          <w:i/>
          <w:iCs/>
        </w:rPr>
        <w:t xml:space="preserve">(media página)</w:t>
      </w:r>
    </w:p>
    <w:p>
      <w:pPr>
        <w:pStyle w:val="FirstParagraph"/>
      </w:pPr>
      <w:r>
        <w:rPr>
          <w:b/>
          <w:bCs/>
        </w:rPr>
        <w:t xml:space="preserve">Protocolo Banco Mundial: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Tasa</w:t>
            </w:r>
          </w:p>
        </w:tc>
        <w:tc>
          <w:tcPr/>
          <w:p>
            <w:pPr>
              <w:pStyle w:val="Compact"/>
            </w:pPr>
            <w:r>
              <w:t xml:space="preserve">sin C</w:t>
            </w:r>
          </w:p>
        </w:tc>
        <w:tc>
          <w:tcPr/>
          <w:p>
            <w:pPr>
              <w:pStyle w:val="Compact"/>
            </w:pPr>
            <w:r>
              <w:t xml:space="preserve">C bajo (50)</w:t>
            </w:r>
          </w:p>
        </w:tc>
        <w:tc>
          <w:tcPr/>
          <w:p>
            <w:pPr>
              <w:pStyle w:val="Compact"/>
            </w:pPr>
            <w:r>
              <w:t xml:space="preserve">C alto (100)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TSD ambiental Colombia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Consenso experto 2%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Cuantificación del carbono:</w:t>
      </w:r>
      <w:r>
        <w:t xml:space="preserve"> </w:t>
      </w:r>
      <w:r>
        <w:t xml:space="preserve">línea base, adicionalidad, permanencia, verificación.</w:t>
      </w:r>
    </w:p>
    <w:p>
      <w:pPr>
        <w:pStyle w:val="BodyText"/>
      </w:pPr>
      <w:r>
        <w:rPr>
          <w:b/>
          <w:bCs/>
        </w:rPr>
        <w:t xml:space="preserve">La brecha:</w:t>
      </w:r>
      <w:r>
        <w:t xml:space="preserve"> </w:t>
      </w:r>
      <w:r>
        <w:t xml:space="preserve">VPN social − VPN privado = USD</w:t>
      </w:r>
      <w:r>
        <w:t xml:space="preserve"> </w:t>
      </w:r>
      <w:r>
        <w:rPr>
          <w:rStyle w:val="VerbatimChar"/>
        </w:rPr>
        <w:t xml:space="preserve">___</w:t>
      </w:r>
      <w:r>
        <w:t xml:space="preserve">.</w:t>
      </w:r>
      <w:r>
        <w:t xml:space="preserve"> </w:t>
      </w:r>
      <w:r>
        <w:rPr>
          <w:b/>
          <w:bCs/>
        </w:rPr>
        <w:t xml:space="preserve">¿Quién la paga?</w:t>
      </w:r>
    </w:p>
    <w:p>
      <w:r>
        <w:pict>
          <v:rect style="width:0;height:1.5pt" o:hralign="center" o:hrstd="t" o:hr="t"/>
        </w:pict>
      </w:r>
    </w:p>
    <w:bookmarkEnd w:id="28"/>
    <w:bookmarkStart w:id="29" w:name="riesgos-media-página"/>
    <w:p>
      <w:pPr>
        <w:pStyle w:val="Heading2"/>
      </w:pPr>
      <w:r>
        <w:t xml:space="preserve">6 · Riesgos</w:t>
      </w:r>
      <w:r>
        <w:t xml:space="preserve"> </w:t>
      </w:r>
      <w:r>
        <w:rPr>
          <w:i/>
          <w:iCs/>
        </w:rPr>
        <w:t xml:space="preserve">(media página)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Riesgo</w:t>
            </w:r>
          </w:p>
        </w:tc>
        <w:tc>
          <w:tcPr/>
          <w:p>
            <w:pPr>
              <w:pStyle w:val="Compact"/>
            </w:pPr>
            <w:r>
              <w:t xml:space="preserve">Prob.</w:t>
            </w:r>
          </w:p>
        </w:tc>
        <w:tc>
          <w:tcPr/>
          <w:p>
            <w:pPr>
              <w:pStyle w:val="Compact"/>
            </w:pPr>
            <w:r>
              <w:t xml:space="preserve">Impacto</w:t>
            </w:r>
          </w:p>
        </w:tc>
        <w:tc>
          <w:tcPr/>
          <w:p>
            <w:pPr>
              <w:pStyle w:val="Compact"/>
            </w:pPr>
            <w:r>
              <w:t xml:space="preserve">Mitigación</w:t>
            </w:r>
          </w:p>
        </w:tc>
        <w:tc>
          <w:tcPr/>
          <w:p>
            <w:pPr>
              <w:pStyle w:val="Compact"/>
            </w:pPr>
            <w:r>
              <w:t xml:space="preserve">¿Quién lo asume?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Escenarios NGFS: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Current Policies</w:t>
            </w:r>
          </w:p>
        </w:tc>
        <w:tc>
          <w:tcPr/>
          <w:p>
            <w:pPr>
              <w:pStyle w:val="Compact"/>
            </w:pPr>
            <w:r>
              <w:t xml:space="preserve">Net Zero 2050</w:t>
            </w:r>
          </w:p>
        </w:tc>
        <w:tc>
          <w:tcPr/>
          <w:p>
            <w:pPr>
              <w:pStyle w:val="Compact"/>
            </w:pPr>
            <w:r>
              <w:t xml:space="preserve">Delayed Transition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VPN privado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¿Se financia?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r>
        <w:pict>
          <v:rect style="width:0;height:1.5pt" o:hralign="center" o:hrstd="t" o:hr="t"/>
        </w:pict>
      </w:r>
    </w:p>
    <w:bookmarkEnd w:id="29"/>
    <w:bookmarkStart w:id="30" w:name="anexo-obligatorio-uso-de-ia"/>
    <w:p>
      <w:pPr>
        <w:pStyle w:val="Heading2"/>
      </w:pPr>
      <w:r>
        <w:t xml:space="preserve">7 · Anexo obligatorio · Uso de IA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Herramienta</w:t>
            </w:r>
          </w:p>
        </w:tc>
        <w:tc>
          <w:tcPr/>
          <w:p>
            <w:pPr>
              <w:pStyle w:val="Compact"/>
            </w:pPr>
            <w:r>
              <w:t xml:space="preserve">Para qué</w:t>
            </w:r>
          </w:p>
        </w:tc>
        <w:tc>
          <w:tcPr/>
          <w:p>
            <w:pPr>
              <w:pStyle w:val="Compact"/>
            </w:pPr>
            <w:r>
              <w:t xml:space="preserve">Prompt (resumen)</w:t>
            </w:r>
          </w:p>
        </w:tc>
        <w:tc>
          <w:tcPr/>
          <w:p>
            <w:pPr>
              <w:pStyle w:val="Compact"/>
            </w:pPr>
            <w:r>
              <w:t xml:space="preserve">Cómo se verificó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lockText"/>
      </w:pPr>
      <w:r>
        <w:t xml:space="preserve">Toda cifra obtenida con IA debe estar verificada contra fuente primaria. Una cifra sin fuente anula el entregable.</w:t>
      </w:r>
    </w:p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3" Target="02-nota-de-inversion.docx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02-nota-de-inversion.doc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Nota de Inversión</dc:title>
  <dc:creator/>
  <cp:keywords/>
  <dcterms:created xsi:type="dcterms:W3CDTF">2026-09-12T12:36:08Z</dcterms:created>
  <dcterms:modified xsi:type="dcterms:W3CDTF">2026-09-12T12:36:08Z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header-includes">
    <vt:lpwstr/>
  </property>
  <property fmtid="{D5CDD505-2E9C-101B-9397-08002B2CF9AE}" pid="5" name="include-after">
    <vt:lpwstr/>
  </property>
  <property fmtid="{D5CDD505-2E9C-101B-9397-08002B2CF9AE}" pid="6" name="include-before">
    <vt:lpwstr/>
  </property>
  <property fmtid="{D5CDD505-2E9C-101B-9397-08002B2CF9AE}" pid="7" name="labels">
    <vt:lpwstr/>
  </property>
  <property fmtid="{D5CDD505-2E9C-101B-9397-08002B2CF9AE}" pid="8" name="subtitle">
    <vt:lpwstr>Entregable final · máximo 4 páginas · miércoles 16 de septiembre</vt:lpwstr>
  </property>
  <property fmtid="{D5CDD505-2E9C-101B-9397-08002B2CF9AE}" pid="9" name="toc-title">
    <vt:lpwstr>Table of contents</vt:lpwstr>
  </property>
</Properties>
</file>